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color w:val="1d1d1b"/>
        </w:rPr>
      </w:pPr>
      <w:r w:rsidDel="00000000" w:rsidR="00000000" w:rsidRPr="00000000">
        <w:rPr>
          <w:color w:val="1d1d1b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-2009774</wp:posOffset>
            </wp:positionH>
            <wp:positionV relativeFrom="page">
              <wp:posOffset>29776</wp:posOffset>
            </wp:positionV>
            <wp:extent cx="5732145" cy="4373880"/>
            <wp:effectExtent b="0" l="0" r="0" t="0"/>
            <wp:wrapNone/>
            <wp:docPr id="5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1d1d1b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438150</wp:posOffset>
            </wp:positionH>
            <wp:positionV relativeFrom="page">
              <wp:posOffset>466608</wp:posOffset>
            </wp:positionV>
            <wp:extent cx="3048000" cy="834853"/>
            <wp:effectExtent b="0" l="0" r="0" t="0"/>
            <wp:wrapNone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color w:val="1d1d1b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465138</wp:posOffset>
                </wp:positionH>
                <wp:positionV relativeFrom="paragraph">
                  <wp:posOffset>104458</wp:posOffset>
                </wp:positionV>
                <wp:extent cx="4618990" cy="861060"/>
                <wp:effectExtent b="0" l="0" r="0" t="0"/>
                <wp:wrapSquare wrapText="bothSides" distB="45720" distT="45720" distL="114300" distR="11430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050793" y="3363758"/>
                          <a:ext cx="4590415" cy="832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  <w:t xml:space="preserve">PIANO DI LEZIONE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465138</wp:posOffset>
                </wp:positionH>
                <wp:positionV relativeFrom="paragraph">
                  <wp:posOffset>104458</wp:posOffset>
                </wp:positionV>
                <wp:extent cx="4618990" cy="861060"/>
                <wp:effectExtent b="0" l="0" r="0" t="0"/>
                <wp:wrapSquare wrapText="bothSides" distB="45720" distT="45720" distL="114300" distR="114300"/>
                <wp:docPr id="2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18990" cy="8610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color w:val="1d1d1b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338138</wp:posOffset>
                </wp:positionH>
                <wp:positionV relativeFrom="paragraph">
                  <wp:posOffset>40959</wp:posOffset>
                </wp:positionV>
                <wp:extent cx="4876800" cy="1135380"/>
                <wp:effectExtent b="0" l="0" r="0" t="0"/>
                <wp:wrapSquare wrapText="bothSides" distB="45720" distT="45720" distL="114300" distR="11430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921888" y="3226598"/>
                          <a:ext cx="4848225" cy="1106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  <w:t xml:space="preserve">WP3: Formazione del personale docente per una didattica dell’informatica autentica e inclusiva in termini di genere 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338138</wp:posOffset>
                </wp:positionH>
                <wp:positionV relativeFrom="paragraph">
                  <wp:posOffset>40959</wp:posOffset>
                </wp:positionV>
                <wp:extent cx="4876800" cy="1135380"/>
                <wp:effectExtent b="0" l="0" r="0" t="0"/>
                <wp:wrapSquare wrapText="bothSides" distB="45720" distT="45720" distL="114300" distR="114300"/>
                <wp:docPr id="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76800" cy="11353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color w:val="1d1d1b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b="0" l="0" r="0" t="0"/>
            <wp:wrapNone/>
            <wp:docPr id="4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8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6264"/>
        </w:tabs>
        <w:rPr>
          <w:color w:val="1d1d1b"/>
        </w:rPr>
      </w:pPr>
      <w:r w:rsidDel="00000000" w:rsidR="00000000" w:rsidRPr="00000000">
        <w:rPr>
          <w:color w:val="1d1d1b"/>
          <w:rtl w:val="0"/>
        </w:rPr>
        <w:tab/>
      </w:r>
    </w:p>
    <w:p w:rsidR="00000000" w:rsidDel="00000000" w:rsidP="00000000" w:rsidRDefault="00000000" w:rsidRPr="00000000" w14:paraId="0000000C">
      <w:pPr>
        <w:tabs>
          <w:tab w:val="left" w:leader="none" w:pos="6264"/>
        </w:tabs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72.0" w:type="dxa"/>
        <w:jc w:val="left"/>
        <w:tblLayout w:type="fixed"/>
        <w:tblLook w:val="0400"/>
      </w:tblPr>
      <w:tblGrid>
        <w:gridCol w:w="1440"/>
        <w:gridCol w:w="7632"/>
        <w:tblGridChange w:id="0">
          <w:tblGrid>
            <w:gridCol w:w="1440"/>
            <w:gridCol w:w="7632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E">
            <w:pPr>
              <w:rPr/>
            </w:pPr>
            <w:bookmarkStart w:colFirst="0" w:colLast="0" w:name="_heading=h.rr8zh1jsz4er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INFORMAZIONI GENERALI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Modulo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Modulo 8: Laboratorio: co-progettazione e valutazione degli scenari di apprendimento per l’insegnamento e la valutazione dell’informatica nella scuola primaria in base al quadro di TINKER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Unità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Unità 8.2: Valutazione dell’impatto dell’insegnamento dell’informatica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Gruppo target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Docenti, formatrici e formatori della scuola primaria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Durata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90 minuti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Prerequisiti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Conoscenze di base legate alla pianificazione delle lezioni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ECTS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0,04</w:t>
            </w:r>
          </w:p>
        </w:tc>
      </w:tr>
    </w:tbl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75.0" w:type="dxa"/>
        <w:jc w:val="left"/>
        <w:tblLayout w:type="fixed"/>
        <w:tblLook w:val="0400"/>
      </w:tblPr>
      <w:tblGrid>
        <w:gridCol w:w="660"/>
        <w:gridCol w:w="8415"/>
        <w:tblGridChange w:id="0">
          <w:tblGrid>
            <w:gridCol w:w="660"/>
            <w:gridCol w:w="841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RISULTATI DI APPRENDIMENTO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F">
            <w:pPr>
              <w:rPr/>
            </w:pPr>
            <w:bookmarkStart w:colFirst="0" w:colLast="0" w:name="_heading=h.s1dmatbkrcku" w:id="1"/>
            <w:bookmarkEnd w:id="1"/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Ricorrere ai protocolli di valutazione tra pari per valutare gli scenari di apprendimento.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Sfruttare griglie di valutazione calibrate per valutare l’allineamento ai principi dell’apprendimento autentico e dell’inclusività.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Facilitare discussioni che incoraggiano la riflessione per migliorare le valutazioni di gruppo.</w:t>
            </w:r>
          </w:p>
        </w:tc>
      </w:tr>
    </w:tbl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117.0" w:type="dxa"/>
        <w:jc w:val="left"/>
        <w:tblLayout w:type="fixed"/>
        <w:tblLook w:val="0400"/>
      </w:tblPr>
      <w:tblGrid>
        <w:gridCol w:w="338"/>
        <w:gridCol w:w="3546"/>
        <w:gridCol w:w="364"/>
        <w:gridCol w:w="4633"/>
        <w:gridCol w:w="236"/>
        <w:tblGridChange w:id="0">
          <w:tblGrid>
            <w:gridCol w:w="338"/>
            <w:gridCol w:w="3546"/>
            <w:gridCol w:w="364"/>
            <w:gridCol w:w="4633"/>
            <w:gridCol w:w="236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4"/>
            <w:tcBorders>
              <w:top w:color="16c45b" w:space="0" w:sz="4" w:val="single"/>
              <w:left w:color="16c45b" w:space="0" w:sz="4" w:val="single"/>
              <w:bottom w:color="16c45b" w:space="0" w:sz="4" w:val="single"/>
            </w:tcBorders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6">
            <w:pPr>
              <w:rPr/>
            </w:pPr>
            <w:bookmarkStart w:colFirst="0" w:colLast="0" w:name="_heading=h.c5zeatpqlypd" w:id="2"/>
            <w:bookmarkEnd w:id="2"/>
            <w:r w:rsidDel="00000000" w:rsidR="00000000" w:rsidRPr="00000000">
              <w:rPr>
                <w:b w:val="1"/>
                <w:rtl w:val="0"/>
              </w:rPr>
              <w:t xml:space="preserve">METODI DI INSEGNAMENTO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i w:val="1"/>
                <w:color w:val="1d1d1b"/>
                <w:rtl w:val="0"/>
              </w:rPr>
              <w:t xml:space="preserve">Learning by doing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color w:val="1d1d1b"/>
                <w:rtl w:val="0"/>
              </w:rPr>
              <w:t xml:space="preserve">Apprendimento tra pari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color w:val="1d1d1b"/>
                <w:rtl w:val="0"/>
              </w:rPr>
              <w:t xml:space="preserve">Apprendimento basato su progetti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color w:val="1d1d1b"/>
                <w:rtl w:val="0"/>
              </w:rPr>
              <w:t xml:space="preserve">Apprendimento pratico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color w:val="1d1d1b"/>
                <w:rtl w:val="0"/>
              </w:rPr>
              <w:t xml:space="preserve">Strategie di apprendimento attivo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color w:val="1d1d1b"/>
                <w:rtl w:val="0"/>
              </w:rPr>
              <w:t xml:space="preserve">Apprendimento collaborativo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color w:val="1d1d1b"/>
                <w:rtl w:val="0"/>
              </w:rPr>
              <w:t xml:space="preserve">Apprendimento ibrido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Discussione guidata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027.0" w:type="dxa"/>
        <w:jc w:val="left"/>
        <w:tblLayout w:type="fixed"/>
        <w:tblLook w:val="0400"/>
      </w:tblPr>
      <w:tblGrid>
        <w:gridCol w:w="1736"/>
        <w:gridCol w:w="7291"/>
        <w:tblGridChange w:id="0">
          <w:tblGrid>
            <w:gridCol w:w="1736"/>
            <w:gridCol w:w="7291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MATERIALE DIDATTICO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Occorrente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Risorse aggiuntive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4">
            <w:pPr>
              <w:rPr/>
            </w:pPr>
            <w:hyperlink r:id="rId11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https://www.youtube.com/watch?v=S4fUCw-CoO4</w:t>
              </w:r>
            </w:hyperlink>
            <w:r w:rsidDel="00000000" w:rsidR="00000000" w:rsidRPr="00000000">
              <w:rPr>
                <w:rtl w:val="0"/>
              </w:rPr>
              <w:t xml:space="preserve"> , Il protocollo “Amici Critici” (o “Critical Friends Protocol”)</w:t>
            </w:r>
          </w:p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9027.0" w:type="dxa"/>
        <w:jc w:val="left"/>
        <w:tblLayout w:type="fixed"/>
        <w:tblLook w:val="0400"/>
      </w:tblPr>
      <w:tblGrid>
        <w:gridCol w:w="1375"/>
        <w:gridCol w:w="7652"/>
        <w:tblGridChange w:id="0">
          <w:tblGrid>
            <w:gridCol w:w="1375"/>
            <w:gridCol w:w="7652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7">
            <w:pPr>
              <w:rPr/>
            </w:pPr>
            <w:bookmarkStart w:colFirst="0" w:colLast="0" w:name="_heading=h.9sphhha2299s" w:id="3"/>
            <w:bookmarkEnd w:id="3"/>
            <w:r w:rsidDel="00000000" w:rsidR="00000000" w:rsidRPr="00000000">
              <w:rPr>
                <w:b w:val="1"/>
                <w:rtl w:val="0"/>
              </w:rPr>
              <w:t xml:space="preserve">CONTENUTI DELL’UNITÀ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Introduzione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Questa unità mira a consentire alle e ai docenti di imparare a valutare collaborativamente gli scenari di apprendimento usando dei metodi basati su dati concreti. Le e i docenti valuteranno l’efficacia degli scenari di apprendimento ricorrendo alla valutazione tra pari, garantendo che questi siano in linea con gli obiettivi dell’apprendimento autentico e dell’inclusività di genere. Nello specifico, le e i docenti acquisiranno conoscenze relative al protocollo “Amici Critici” (o Critical Friends Protocol - CFP) e alla valutazione tra pari calibrata (o Calibrated Peer Review – CPR). L’unità approfondisce questi metodi, svelandone i meccanismi alla base e le possibili applicazioni. Queste conoscenze consentono al corpo docente di discernere tra i diversi protocolli, individuando differenze e punti di contatto. Allo stesso tempo, le e i docenti conosceranno le sfide che possono presentarsi durante l’attuazione di questi metodi e impareranno a metterli in pratica al fine di valutare i propri scenari, singolarmente o in combinazione. Infine, comprenderanno l’importanza del feedback a rotazione e l’esigenza di una valutazione collaborativa.</w:t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Attività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D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Attività 1: Approfondire i protocolli di valutazione tra pari (slide 6-8)</w:t>
            </w:r>
          </w:p>
          <w:p w:rsidR="00000000" w:rsidDel="00000000" w:rsidP="00000000" w:rsidRDefault="00000000" w:rsidRPr="00000000" w14:paraId="0000004E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Finalità: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Comprendere come i protocolli di valutazione tra pari rappresentino una valida strategia di valutazione. </w:t>
            </w:r>
          </w:p>
          <w:p w:rsidR="00000000" w:rsidDel="00000000" w:rsidP="00000000" w:rsidRDefault="00000000" w:rsidRPr="00000000" w14:paraId="0000004F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Istruzioni: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Discuti il ciclo della strategia di valutazione e il processo di ottenimento del feedback (slide 6) (8 min.)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Sottolinea la necessità di avvalersi di protocolli di valutazione tra pari (slide 7) (4 min.)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Approfondisci il feedback a rotazione (slide 8) (8 min.)</w:t>
            </w:r>
          </w:p>
          <w:p w:rsidR="00000000" w:rsidDel="00000000" w:rsidP="00000000" w:rsidRDefault="00000000" w:rsidRPr="00000000" w14:paraId="00000053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Attività 2: Introdurre il protocollo “Amici Critici” (slide 9-12)</w:t>
            </w:r>
          </w:p>
          <w:p w:rsidR="00000000" w:rsidDel="00000000" w:rsidP="00000000" w:rsidRDefault="00000000" w:rsidRPr="00000000" w14:paraId="00000054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Finalità: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effettuare delle valutazioni collaborative degli scenari applicando il protocollo “Amici Critici”.</w:t>
            </w:r>
          </w:p>
          <w:p w:rsidR="00000000" w:rsidDel="00000000" w:rsidP="00000000" w:rsidRDefault="00000000" w:rsidRPr="00000000" w14:paraId="00000055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Istruzioni: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Guarda il video (4 min.)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Discuti i vantaggi e il meccanismo (slide 10) (4 min.)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Svela il processo graduale (slide 11) (6 min.)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Metti in pratica l’esempio (slide 12) (15 min.)</w:t>
            </w:r>
          </w:p>
          <w:p w:rsidR="00000000" w:rsidDel="00000000" w:rsidP="00000000" w:rsidRDefault="00000000" w:rsidRPr="00000000" w14:paraId="0000005A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Attività 3: Presentare la valutazione tra pari calibrata (slide 13-15)</w:t>
            </w:r>
          </w:p>
          <w:p w:rsidR="00000000" w:rsidDel="00000000" w:rsidP="00000000" w:rsidRDefault="00000000" w:rsidRPr="00000000" w14:paraId="0000005B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Finalità: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 effettuare delle valutazioni collaborative degli scenari utilizzando il metodo della valutazione tra pari calibrata.</w:t>
            </w:r>
          </w:p>
          <w:p w:rsidR="00000000" w:rsidDel="00000000" w:rsidP="00000000" w:rsidRDefault="00000000" w:rsidRPr="00000000" w14:paraId="0000005C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Istruzioni: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Spiega il processo di valutazione come indicato nella slide 13 (6 min.)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Discuti i vantaggi (slide 14) (4 min.)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Metti in pratica l’esempio (slide 15) (15 min.)</w:t>
            </w:r>
          </w:p>
          <w:p w:rsidR="00000000" w:rsidDel="00000000" w:rsidP="00000000" w:rsidRDefault="00000000" w:rsidRPr="00000000" w14:paraId="00000060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Attività 4: Confrontare il protocollo Amici Critici e la valutazione tra pari calibrata (slide 16-17)</w:t>
            </w:r>
          </w:p>
          <w:p w:rsidR="00000000" w:rsidDel="00000000" w:rsidP="00000000" w:rsidRDefault="00000000" w:rsidRPr="00000000" w14:paraId="00000061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Finalità: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individuare le somiglianze e le differenze tra i due metodi per comprendere quando poterli usare in modo efficace.</w:t>
            </w:r>
          </w:p>
          <w:p w:rsidR="00000000" w:rsidDel="00000000" w:rsidP="00000000" w:rsidRDefault="00000000" w:rsidRPr="00000000" w14:paraId="00000062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Istruzioni: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Discuti le somiglianze e le differenze (slide 16) (4 min.)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Acquisisci informazioni sul loro uso (slide 17) (4 min.)</w:t>
            </w:r>
          </w:p>
          <w:p w:rsidR="00000000" w:rsidDel="00000000" w:rsidP="00000000" w:rsidRDefault="00000000" w:rsidRPr="00000000" w14:paraId="00000065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Attività 5: Discutere le sfide legate all’attuazione del protocollo “Amici Critici” e del metodo della valutazione tra pari calibrata (slide 18)</w:t>
            </w:r>
          </w:p>
          <w:p w:rsidR="00000000" w:rsidDel="00000000" w:rsidP="00000000" w:rsidRDefault="00000000" w:rsidRPr="00000000" w14:paraId="00000067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Finalità: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superare le difficoltà che potrebbero emergere nell’attuazione di strategie di valutazione collaborative (protocollo “Amici Critici” e metodo della valutazione tra pari calibrata)</w:t>
            </w:r>
          </w:p>
          <w:p w:rsidR="00000000" w:rsidDel="00000000" w:rsidP="00000000" w:rsidRDefault="00000000" w:rsidRPr="00000000" w14:paraId="00000068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Istruzioni: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Discuti le sfide e le soluzioni (slide 18) (4 min.)</w:t>
            </w:r>
          </w:p>
          <w:p w:rsidR="00000000" w:rsidDel="00000000" w:rsidP="00000000" w:rsidRDefault="00000000" w:rsidRPr="00000000" w14:paraId="0000006A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Attività 6: Riflessione e conclusioni (slide 19)</w:t>
            </w:r>
          </w:p>
          <w:p w:rsidR="00000000" w:rsidDel="00000000" w:rsidP="00000000" w:rsidRDefault="00000000" w:rsidRPr="00000000" w14:paraId="0000006B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Finalità: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riassumere e riflettere</w:t>
            </w:r>
          </w:p>
          <w:p w:rsidR="00000000" w:rsidDel="00000000" w:rsidP="00000000" w:rsidRDefault="00000000" w:rsidRPr="00000000" w14:paraId="0000006C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Istruzioni: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Riassumi i contenuti affrontati (slide 19) (4 min.)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9022.0" w:type="dxa"/>
        <w:jc w:val="left"/>
        <w:tblInd w:w="-5.0" w:type="dxa"/>
        <w:tblLayout w:type="fixed"/>
        <w:tblLook w:val="0400"/>
      </w:tblPr>
      <w:tblGrid>
        <w:gridCol w:w="1768"/>
        <w:gridCol w:w="7254"/>
        <w:tblGridChange w:id="0">
          <w:tblGrid>
            <w:gridCol w:w="1768"/>
            <w:gridCol w:w="7254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16c45b" w:space="0" w:sz="4" w:val="single"/>
              <w:left w:color="16c45b" w:space="0" w:sz="4" w:val="single"/>
              <w:bottom w:color="16c45b" w:space="0" w:sz="4" w:val="single"/>
            </w:tcBorders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INSEGNAMENTI CHIAVE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4">
            <w:pPr>
              <w:rPr/>
            </w:pPr>
            <w:bookmarkStart w:colFirst="0" w:colLast="0" w:name="_heading=h.xmxopfytp5fe" w:id="4"/>
            <w:bookmarkEnd w:id="4"/>
            <w:r w:rsidDel="00000000" w:rsidR="00000000" w:rsidRPr="00000000">
              <w:rPr>
                <w:b w:val="1"/>
                <w:rtl w:val="0"/>
              </w:rPr>
              <w:t xml:space="preserve">Riflessioni e conclusione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5">
            <w:pPr>
              <w:spacing w:line="256" w:lineRule="auto"/>
              <w:rPr/>
            </w:pPr>
            <w:r w:rsidDel="00000000" w:rsidR="00000000" w:rsidRPr="00000000">
              <w:rPr>
                <w:rtl w:val="0"/>
              </w:rPr>
              <w:t xml:space="preserve">Riassumere i punti principali:</w:t>
            </w:r>
          </w:p>
          <w:p w:rsidR="00000000" w:rsidDel="00000000" w:rsidP="00000000" w:rsidRDefault="00000000" w:rsidRPr="00000000" w14:paraId="00000076">
            <w:pPr>
              <w:spacing w:line="256" w:lineRule="auto"/>
              <w:rPr/>
            </w:pPr>
            <w:r w:rsidDel="00000000" w:rsidR="00000000" w:rsidRPr="00000000">
              <w:rPr>
                <w:rtl w:val="0"/>
              </w:rPr>
              <w:t xml:space="preserve">. Protocolli come “Amici Critici” permettono di standardizzare la qualità del feedback.</w:t>
            </w:r>
          </w:p>
          <w:p w:rsidR="00000000" w:rsidDel="00000000" w:rsidP="00000000" w:rsidRDefault="00000000" w:rsidRPr="00000000" w14:paraId="00000077">
            <w:pPr>
              <w:spacing w:line="256" w:lineRule="auto"/>
              <w:rPr/>
            </w:pPr>
            <w:r w:rsidDel="00000000" w:rsidR="00000000" w:rsidRPr="00000000">
              <w:rPr>
                <w:rtl w:val="0"/>
              </w:rPr>
              <w:t xml:space="preserve">. La co-creazione di griglie di valutazione aumenta la trasparenza del processo di valutazione.</w:t>
            </w:r>
          </w:p>
          <w:p w:rsidR="00000000" w:rsidDel="00000000" w:rsidP="00000000" w:rsidRDefault="00000000" w:rsidRPr="00000000" w14:paraId="00000078">
            <w:pPr>
              <w:spacing w:line="256" w:lineRule="auto"/>
              <w:rPr/>
            </w:pPr>
            <w:bookmarkStart w:colFirst="0" w:colLast="0" w:name="_heading=h.hn00susavj56" w:id="5"/>
            <w:bookmarkEnd w:id="5"/>
            <w:r w:rsidDel="00000000" w:rsidR="00000000" w:rsidRPr="00000000">
              <w:rPr>
                <w:rtl w:val="0"/>
              </w:rPr>
              <w:t xml:space="preserve">. I giochi di ruolo aumentano l’empatia e riducono i pregiudizi.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Compiti aggiuntivi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B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C">
            <w:pPr>
              <w:rPr>
                <w:rFonts w:ascii="Quattrocento Sans" w:cs="Quattrocento Sans" w:eastAsia="Quattrocento Sans" w:hAnsi="Quattrocento Sans"/>
                <w:b w:val="1"/>
                <w:color w:val="000000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072.0" w:type="dxa"/>
        <w:jc w:val="left"/>
        <w:tblLayout w:type="fixed"/>
        <w:tblLook w:val="0400"/>
      </w:tblPr>
      <w:tblGrid>
        <w:gridCol w:w="9027"/>
        <w:gridCol w:w="45"/>
        <w:tblGridChange w:id="0">
          <w:tblGrid>
            <w:gridCol w:w="9027"/>
            <w:gridCol w:w="45"/>
          </w:tblGrid>
        </w:tblGridChange>
      </w:tblGrid>
      <w:tr>
        <w:trPr>
          <w:cantSplit w:val="0"/>
          <w:trHeight w:val="473" w:hRule="atLeast"/>
          <w:tblHeader w:val="0"/>
        </w:trPr>
        <w:tc>
          <w:tcPr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RIFERIMENTI BIBLIOGRAFICI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4" w:hRule="atLeast"/>
          <w:tblHeader w:val="0"/>
        </w:trPr>
        <w:tc>
          <w:tcPr>
            <w:gridSpan w:val="2"/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0">
            <w:pPr>
              <w:spacing w:after="2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Aronson, E., &amp; Patnoe, S. (2011). The Jigsaw Classroom. Sage.</w:t>
            </w:r>
          </w:p>
          <w:p w:rsidR="00000000" w:rsidDel="00000000" w:rsidP="00000000" w:rsidRDefault="00000000" w:rsidRPr="00000000" w14:paraId="00000081">
            <w:pPr>
              <w:spacing w:after="2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Bambino, D. (2002). Critical friends. Educational Leadership, 59(6), 25-27.</w:t>
            </w:r>
          </w:p>
          <w:p w:rsidR="00000000" w:rsidDel="00000000" w:rsidP="00000000" w:rsidRDefault="00000000" w:rsidRPr="00000000" w14:paraId="00000082">
            <w:pPr>
              <w:spacing w:after="2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Black, P., &amp; Wiliam, D. (1998). Assessment and classroom learning. Assessment in Education, 5(1), 7-74.</w:t>
            </w:r>
          </w:p>
          <w:p w:rsidR="00000000" w:rsidDel="00000000" w:rsidP="00000000" w:rsidRDefault="00000000" w:rsidRPr="00000000" w14:paraId="00000083">
            <w:pPr>
              <w:spacing w:after="2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Collins, A. (1989). Cognitive apprenticeship. Cog. Sci.</w:t>
            </w:r>
          </w:p>
          <w:p w:rsidR="00000000" w:rsidDel="00000000" w:rsidP="00000000" w:rsidRDefault="00000000" w:rsidRPr="00000000" w14:paraId="00000084">
            <w:pPr>
              <w:spacing w:after="2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Herrington, J., &amp; Oliver, R. (2000). An instructional design framework for authentic learning environments. ETR&amp;D, 48(3), 23-48.</w:t>
            </w:r>
          </w:p>
          <w:p w:rsidR="00000000" w:rsidDel="00000000" w:rsidP="00000000" w:rsidRDefault="00000000" w:rsidRPr="00000000" w14:paraId="00000085">
            <w:pPr>
              <w:spacing w:after="2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Koch, M., et al. (2020). Gender-inclusive design in CS education. ACM SIGCSE, 51(1), 12-18.</w:t>
            </w:r>
          </w:p>
          <w:p w:rsidR="00000000" w:rsidDel="00000000" w:rsidP="00000000" w:rsidRDefault="00000000" w:rsidRPr="00000000" w14:paraId="0000008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Topping, K.J. (2009). Peer assessment. Theory Into Practice, 48(1), 20-27.</w:t>
            </w:r>
          </w:p>
        </w:tc>
      </w:tr>
    </w:tbl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sectPr>
      <w:headerReference r:id="rId12" w:type="default"/>
      <w:pgSz w:h="16838" w:w="11906" w:orient="portrait"/>
      <w:pgMar w:bottom="1440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9">
    <w:pPr>
      <w:jc w:val="right"/>
      <w:rPr>
        <w:b w:val="1"/>
        <w:color w:val="16c45b"/>
      </w:rPr>
    </w:pPr>
    <w:r w:rsidDel="00000000" w:rsidR="00000000" w:rsidRPr="00000000">
      <w:rPr>
        <w:b w:val="1"/>
        <w:color w:val="16c45b"/>
        <w:rtl w:val="0"/>
      </w:rPr>
      <w:t xml:space="preserve">https://tinker-project.eu/</w:t>
    </w:r>
  </w:p>
  <w:p w:rsidR="00000000" w:rsidDel="00000000" w:rsidP="00000000" w:rsidRDefault="00000000" w:rsidRPr="00000000" w14:paraId="0000008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Calibri" w:cs="Calibri" w:eastAsia="Calibri" w:hAnsi="Calibri"/>
      <w:color w:val="2f5496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2f5496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Titolo7">
    <w:name w:val="heading 7"/>
    <w:basedOn w:val="Normale"/>
    <w:next w:val="Normale"/>
    <w:link w:val="Titolo7Carattere"/>
    <w:uiPriority w:val="9"/>
    <w:semiHidden w:val="1"/>
    <w:unhideWhenUsed w:val="1"/>
    <w:qFormat w:val="1"/>
    <w:rsid w:val="00FC276D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itolo8">
    <w:name w:val="heading 8"/>
    <w:basedOn w:val="Normale"/>
    <w:next w:val="Normale"/>
    <w:link w:val="Titolo8Carattere"/>
    <w:uiPriority w:val="9"/>
    <w:semiHidden w:val="1"/>
    <w:unhideWhenUsed w:val="1"/>
    <w:qFormat w:val="1"/>
    <w:rsid w:val="00FC276D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itolo9">
    <w:name w:val="heading 9"/>
    <w:basedOn w:val="Normale"/>
    <w:next w:val="Normale"/>
    <w:link w:val="Titolo9Carattere"/>
    <w:uiPriority w:val="9"/>
    <w:semiHidden w:val="1"/>
    <w:unhideWhenUsed w:val="1"/>
    <w:qFormat w:val="1"/>
    <w:rsid w:val="00FC276D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predefinitoparagrafo"/>
    <w:link w:val="Titolo1"/>
    <w:uiPriority w:val="9"/>
    <w:rsid w:val="00FC276D"/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FC276D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semiHidden w:val="1"/>
    <w:rsid w:val="00FC276D"/>
    <w:rPr>
      <w:rFonts w:cstheme="majorBidi" w:eastAsiaTheme="majorEastAsia"/>
      <w:color w:val="2f5496" w:themeColor="accent1" w:themeShade="0000BF"/>
      <w:sz w:val="28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semiHidden w:val="1"/>
    <w:rsid w:val="00FC276D"/>
    <w:rPr>
      <w:rFonts w:cstheme="majorBidi" w:eastAsiaTheme="majorEastAsia"/>
      <w:i w:val="1"/>
      <w:iCs w:val="1"/>
      <w:color w:val="2f5496" w:themeColor="accent1" w:themeShade="0000BF"/>
    </w:rPr>
  </w:style>
  <w:style w:type="character" w:styleId="Titolo5Carattere" w:customStyle="1">
    <w:name w:val="Titolo 5 Carattere"/>
    <w:basedOn w:val="Carpredefinitoparagrafo"/>
    <w:link w:val="Titolo5"/>
    <w:uiPriority w:val="9"/>
    <w:semiHidden w:val="1"/>
    <w:rsid w:val="00FC276D"/>
    <w:rPr>
      <w:rFonts w:cstheme="majorBidi" w:eastAsiaTheme="majorEastAsia"/>
      <w:color w:val="2f5496" w:themeColor="accent1" w:themeShade="0000BF"/>
    </w:r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FC276D"/>
    <w:rPr>
      <w:rFonts w:cstheme="majorBidi" w:eastAsiaTheme="majorEastAsia"/>
      <w:i w:val="1"/>
      <w:iCs w:val="1"/>
      <w:color w:val="595959" w:themeColor="text1" w:themeTint="0000A6"/>
    </w:rPr>
  </w:style>
  <w:style w:type="character" w:styleId="Titolo7Carattere" w:customStyle="1">
    <w:name w:val="Titolo 7 Carattere"/>
    <w:basedOn w:val="Carpredefinitoparagrafo"/>
    <w:link w:val="Titolo7"/>
    <w:uiPriority w:val="9"/>
    <w:semiHidden w:val="1"/>
    <w:rsid w:val="00FC276D"/>
    <w:rPr>
      <w:rFonts w:cstheme="majorBidi" w:eastAsiaTheme="majorEastAsia"/>
      <w:color w:val="595959" w:themeColor="text1" w:themeTint="0000A6"/>
    </w:rPr>
  </w:style>
  <w:style w:type="character" w:styleId="Titolo8Carattere" w:customStyle="1">
    <w:name w:val="Titolo 8 Carattere"/>
    <w:basedOn w:val="Carpredefinitoparagrafo"/>
    <w:link w:val="Titolo8"/>
    <w:uiPriority w:val="9"/>
    <w:semiHidden w:val="1"/>
    <w:rsid w:val="00FC276D"/>
    <w:rPr>
      <w:rFonts w:cstheme="majorBidi" w:eastAsiaTheme="majorEastAsia"/>
      <w:i w:val="1"/>
      <w:iCs w:val="1"/>
      <w:color w:val="272727" w:themeColor="text1" w:themeTint="0000D8"/>
    </w:rPr>
  </w:style>
  <w:style w:type="character" w:styleId="Titolo9Carattere" w:customStyle="1">
    <w:name w:val="Titolo 9 Carattere"/>
    <w:basedOn w:val="Carpredefinitoparagrafo"/>
    <w:link w:val="Titolo9"/>
    <w:uiPriority w:val="9"/>
    <w:semiHidden w:val="1"/>
    <w:rsid w:val="00FC276D"/>
    <w:rPr>
      <w:rFonts w:cstheme="majorBidi" w:eastAsiaTheme="majorEastAsia"/>
      <w:color w:val="272727" w:themeColor="text1" w:themeTint="0000D8"/>
    </w:rPr>
  </w:style>
  <w:style w:type="character" w:styleId="TitoloCarattere" w:customStyle="1">
    <w:name w:val="Titolo Carattere"/>
    <w:basedOn w:val="Carpredefinitoparagrafo"/>
    <w:link w:val="Titolo"/>
    <w:uiPriority w:val="10"/>
    <w:rsid w:val="00FC276D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FC276D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 w:val="1"/>
    <w:rsid w:val="00FC276D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FC276D"/>
    <w:rPr>
      <w:i w:val="1"/>
      <w:iCs w:val="1"/>
      <w:color w:val="404040" w:themeColor="text1" w:themeTint="0000BF"/>
    </w:rPr>
  </w:style>
  <w:style w:type="paragraph" w:styleId="Paragrafoelenco">
    <w:name w:val="List Paragraph"/>
    <w:basedOn w:val="Normale"/>
    <w:uiPriority w:val="34"/>
    <w:qFormat w:val="1"/>
    <w:rsid w:val="00FC276D"/>
    <w:pPr>
      <w:ind w:left="720"/>
      <w:contextualSpacing w:val="1"/>
    </w:pPr>
  </w:style>
  <w:style w:type="character" w:styleId="Enfasiintensa">
    <w:name w:val="Intense Emphasis"/>
    <w:basedOn w:val="Carpredefinitoparagrafo"/>
    <w:uiPriority w:val="21"/>
    <w:qFormat w:val="1"/>
    <w:rsid w:val="00FC276D"/>
    <w:rPr>
      <w:i w:val="1"/>
      <w:iCs w:val="1"/>
      <w:color w:val="2f5496" w:themeColor="accent1" w:themeShade="0000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 w:val="1"/>
    <w:rsid w:val="00FC276D"/>
    <w:pPr>
      <w:pBdr>
        <w:top w:color="2f5496" w:space="10" w:sz="4" w:themeColor="accent1" w:themeShade="0000BF" w:val="single"/>
        <w:bottom w:color="2f5496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2f5496" w:themeColor="accent1" w:themeShade="0000BF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FC276D"/>
    <w:rPr>
      <w:i w:val="1"/>
      <w:iCs w:val="1"/>
      <w:color w:val="2f5496" w:themeColor="accent1" w:themeShade="0000BF"/>
    </w:rPr>
  </w:style>
  <w:style w:type="character" w:styleId="Riferimentointenso">
    <w:name w:val="Intense Reference"/>
    <w:basedOn w:val="Carpredefinitoparagrafo"/>
    <w:uiPriority w:val="32"/>
    <w:qFormat w:val="1"/>
    <w:rsid w:val="00FC276D"/>
    <w:rPr>
      <w:b w:val="1"/>
      <w:bCs w:val="1"/>
      <w:smallCaps w:val="1"/>
      <w:color w:val="2f5496" w:themeColor="accent1" w:themeShade="0000BF"/>
      <w:spacing w:val="5"/>
    </w:rPr>
  </w:style>
  <w:style w:type="paragraph" w:styleId="NormaleWeb">
    <w:name w:val="Normal (Web)"/>
    <w:basedOn w:val="Normale"/>
    <w:uiPriority w:val="99"/>
    <w:semiHidden w:val="1"/>
    <w:unhideWhenUsed w:val="1"/>
    <w:rsid w:val="00FC276D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 w:val="1"/>
    <w:rsid w:val="0060039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 w:val="1"/>
    <w:unhideWhenUsed w:val="1"/>
    <w:rsid w:val="0060039F"/>
    <w:rPr>
      <w:color w:val="605e5c"/>
      <w:shd w:color="auto" w:fill="e1dfdd" w:val="clear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youtube.com/watch?v=S4fUCw-CoO4" TargetMode="External"/><Relationship Id="rId10" Type="http://schemas.openxmlformats.org/officeDocument/2006/relationships/image" Target="media/image1.jpg"/><Relationship Id="rId12" Type="http://schemas.openxmlformats.org/officeDocument/2006/relationships/header" Target="header1.xml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jp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soGrkRFvft0WRBy/wTEdWg9E8A==">CgMxLjAyDmgucnI4emgxanN6NGVyMg5oLnMxZG1hdGJrcmNrdTIOaC5jNXplYXRwcWx5cGQyDmguOXNwaGhoYTIyOTlzMg5oLnhteG9wZnl0cDVmZTIOaC5objAwc3VzYXZqNTY4AHIhMVM5T1pDU1ZjZFJPUzFsVzhvYklGWVFzRlV4OTNSVGVF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2025-05-17T19:04:00Z</dcterms:created>
  <dc:creator>User</dc:creator>
</cp:coreProperties>
</file>